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color w:val="2E7D32"/>
        </w:rPr>
        <w:t xml:space="preserve">Company Expense Policy</w:t>
      </w:r>
    </w:p>
    <w:p>
      <w:r>
        <w:rPr>
          <w:i/>
          <w:iCs/>
          <w:color w:val="607D8B"/>
        </w:rPr>
        <w:t xml:space="preserve">United Kingdom</w:t>
      </w:r>
    </w:p>
    <w:p/>
    <w:p>
      <w:r>
        <w:t xml:space="preserve">This policy sets out what [Company name] reimburses, the limits, and how to claim. It applies UK tax rules so claims are controlled and compliant.</w:t>
      </w:r>
    </w:p>
    <w:p/>
    <w:p>
      <w:pPr>
        <w:pStyle w:val="Heading2"/>
      </w:pPr>
      <w:r>
        <w:t xml:space="preserve">Scope</w:t>
      </w:r>
    </w:p>
    <w:p>
      <w:r>
        <w:t xml:space="preserve">This policy applies to all employees, directors, and contractors of [Company name] who incur business costs.</w:t>
      </w:r>
    </w:p>
    <w:p/>
    <w:p>
      <w:pPr>
        <w:pStyle w:val="Heading2"/>
      </w:pPr>
      <w:r>
        <w:t xml:space="preserve">Rules by category</w:t>
      </w:r>
    </w:p>
    <w:tbl>
      <w:tblPr>
        <w:tblW w:type="dxa" w:w="9360"/>
        <w:tblBorders>
          <w:top w:val="single" w:color="CFD8DC" w:sz="4"/>
          <w:left w:val="single" w:color="CFD8DC" w:sz="4"/>
          <w:bottom w:val="single" w:color="CFD8DC" w:sz="4"/>
          <w:right w:val="single" w:color="CFD8DC" w:sz="4"/>
          <w:insideH w:val="single" w:color="ECEFF1" w:sz="4"/>
          <w:insideV w:val="single" w:color="ECEFF1" w:sz="4"/>
        </w:tblBorders>
        <w:tblLayout w:type="fixed"/>
      </w:tblPr>
      <w:tblGrid>
        <w:gridCol w:w="2700"/>
        <w:gridCol w:w="6660"/>
      </w:tblGrid>
      <w:tr>
        <w:trPr>
          <w:tblHeader/>
        </w:trP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Area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Policy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General principle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 cost is claimable only if it is wholly and exclusively for business and a receipt supports it. To reclaim VAT, the receipt must be a valid VAT invoice.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Travel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Standard or economy class by default. Business class needs prior approval from [approver].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Accommodation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Reasonable, within the company cap of [£ amount] per night. Keep the VAT invoice.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Subsistence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Use HMRC benchmark scale rates (5 hours £5, 10 hours £10, 15 hours and ongoing at 8pm £25, plus a £10 supplement past 8pm) or actual cost with receipts. Do not mix the two for one meal.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Client entertainment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Allowed within [limit], but it is NOT corporation-tax deductible and the input VAT cannot be reclaimed. Record it as a separate category.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Mileage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HMRC AMAP: 45p per mile for the first 10,000 business miles in the tax year, then 25p. Keep a contemporaneous log of every journey.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Phone and internet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Reimburse the business-use proportion only; a personal-contract bill needs an apportionment.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Approvals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Line manager up to [£ amount]; finance above it. No one approves their own claim.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Submission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Submit within [30] days of the spend with receipts attached.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Not reimbursable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Fines, personal items, ordinary commuting, and alcohol beyond agreed limits.</w:t>
            </w:r>
          </w:p>
        </w:tc>
      </w:tr>
    </w:tbl>
    <w:p/>
    <w:p>
      <w:r>
        <w:rPr>
          <w:i/>
          <w:iCs/>
          <w:color w:val="607D8B"/>
        </w:rPr>
        <w:t xml:space="preserve">Replace the bracketed placeholders with your own figures. Tax rates and allowances were current at 25 June 2026; review this policy annually.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Policy (United Kingdom)</dc:title>
  <dc:creator>ExpenseFlow</dc:creator>
  <cp:lastModifiedBy>Un-named</cp:lastModifiedBy>
  <cp:revision>1</cp:revision>
  <dcterms:created xsi:type="dcterms:W3CDTF">2026-06-25T04:54:56.489Z</dcterms:created>
  <dcterms:modified xsi:type="dcterms:W3CDTF">2026-06-25T04:54:56.489Z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